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04B2A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  <w:t>Отчет о деятельности МКУ</w:t>
      </w: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  <w:t xml:space="preserve">«Парк  культуры  и  отдыха» </w:t>
      </w:r>
    </w:p>
    <w:p w14:paraId="4481D12A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  <w:t xml:space="preserve">за </w:t>
      </w: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val="en-US" w:eastAsia="ru-RU"/>
        </w:rPr>
        <w:t xml:space="preserve"> отчетный период</w:t>
      </w:r>
      <w:r>
        <w:rPr>
          <w:rFonts w:hint="default" w:ascii="Times New Roman" w:hAnsi="Times New Roman" w:eastAsia="Times New Roman" w:cs="Times New Roman"/>
          <w:b/>
          <w:bCs/>
          <w:smallCaps/>
          <w:spacing w:val="5"/>
          <w:sz w:val="28"/>
          <w:szCs w:val="28"/>
          <w:u w:val="none"/>
          <w:lang w:eastAsia="ru-RU"/>
        </w:rPr>
        <w:t xml:space="preserve"> 2025 года.</w:t>
      </w:r>
    </w:p>
    <w:p w14:paraId="69724AAD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69AEF9E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 xml:space="preserve">Работа парка в 2025 году проводилась по утверждённой муниципальной программе  «Развитие 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val="en-US" w:eastAsia="ru-RU"/>
        </w:rPr>
        <w:t xml:space="preserve"> МКУ </w:t>
      </w:r>
      <w:r>
        <w:rPr>
          <w:rFonts w:hint="default" w:ascii="Times New Roman" w:hAnsi="Times New Roman" w:eastAsia="Times New Roman" w:cs="Times New Roman"/>
          <w:b w:val="0"/>
          <w:bCs/>
          <w:sz w:val="28"/>
          <w:szCs w:val="28"/>
          <w:lang w:eastAsia="ru-RU"/>
        </w:rPr>
        <w:t>«Парк культуры и отдыха»»</w:t>
      </w:r>
    </w:p>
    <w:p w14:paraId="3DBAA70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240" w:lineRule="auto"/>
        <w:ind w:left="0" w:right="720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Style w:val="4"/>
          <w:rFonts w:hint="default" w:ascii="Times New Roman" w:hAnsi="Times New Roman" w:eastAsia="Arial" w:cs="Times New Roman"/>
          <w:b/>
          <w:bCs w:val="0"/>
          <w:i/>
          <w:iCs/>
          <w:caps w:val="0"/>
          <w:spacing w:val="0"/>
          <w:sz w:val="28"/>
          <w:szCs w:val="28"/>
          <w:u w:val="single"/>
          <w:shd w:val="clear" w:fill="FFFFFF"/>
          <w:lang w:val="ru-RU"/>
        </w:rPr>
        <w:t>Основная цель</w:t>
      </w:r>
      <w:r>
        <w:rPr>
          <w:rStyle w:val="4"/>
          <w:rFonts w:hint="default" w:ascii="Times New Roman" w:hAnsi="Times New Roman" w:eastAsia="Arial" w:cs="Times New Roman"/>
          <w:b/>
          <w:bCs w:val="0"/>
          <w:i/>
          <w:iCs/>
          <w:caps w:val="0"/>
          <w:spacing w:val="0"/>
          <w:sz w:val="28"/>
          <w:szCs w:val="28"/>
          <w:u w:val="single"/>
          <w:shd w:val="clear" w:fill="FFFFFF"/>
        </w:rPr>
        <w:t xml:space="preserve"> учреждения: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Создание условий для досуга, обеспечение населения услугами в сфере культуры и формирование современной городской среды для общественного благополучия и духовного развития жителей.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                  </w:t>
      </w:r>
    </w:p>
    <w:p w14:paraId="0A710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ru-RU"/>
        </w:rPr>
        <w:t xml:space="preserve">Штат сотрудников: </w:t>
      </w:r>
    </w:p>
    <w:p w14:paraId="79D3D3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Arial" w:cs="Times New Roman"/>
          <w:i/>
          <w:iCs/>
          <w:caps w:val="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основной персонал - 4 чел. (директор, юрисконсульт, мастер-участка, заведующий аттракциона); сезонные сотрудники - 17 чел. (кассир билетный - 1, контролер-посадчик -13 ,  инструктор - 2, гл.механик - 1)</w:t>
      </w:r>
    </w:p>
    <w:p w14:paraId="10F519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i w:val="0"/>
          <w:iCs w:val="0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b/>
          <w:i w:val="0"/>
          <w:iCs w:val="0"/>
          <w:sz w:val="28"/>
          <w:szCs w:val="28"/>
          <w:u w:val="single"/>
        </w:rPr>
        <w:t xml:space="preserve">Объем финансирования в </w:t>
      </w:r>
      <w:r>
        <w:rPr>
          <w:rFonts w:hint="default" w:ascii="Times New Roman" w:hAnsi="Times New Roman" w:cs="Times New Roman"/>
          <w:b/>
          <w:i w:val="0"/>
          <w:iCs w:val="0"/>
          <w:sz w:val="28"/>
          <w:szCs w:val="28"/>
          <w:u w:val="single"/>
          <w:lang w:val="ru-RU"/>
        </w:rPr>
        <w:t>отчётном</w:t>
      </w:r>
      <w:r>
        <w:rPr>
          <w:rFonts w:hint="default" w:ascii="Times New Roman" w:hAnsi="Times New Roman" w:cs="Times New Roman"/>
          <w:b/>
          <w:i w:val="0"/>
          <w:iCs w:val="0"/>
          <w:sz w:val="28"/>
          <w:szCs w:val="28"/>
          <w:u w:val="single"/>
        </w:rPr>
        <w:t xml:space="preserve"> периоде составил:</w:t>
      </w:r>
    </w:p>
    <w:p w14:paraId="512F7E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Бюджетные ассигнования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25 326 650.04 </w:t>
      </w:r>
      <w:r>
        <w:rPr>
          <w:rFonts w:hint="default" w:ascii="Times New Roman" w:hAnsi="Times New Roman" w:cs="Times New Roman"/>
          <w:sz w:val="28"/>
          <w:szCs w:val="28"/>
        </w:rPr>
        <w:t>руб.</w:t>
      </w:r>
    </w:p>
    <w:p w14:paraId="570784F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24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</w:rPr>
        <w:t>Все расходы учреждения осуществлялись  в рамках утверждённых смет, нормативов и установленных финансовых лимитов. Финансовые ресурсы были направлены на обеспечение стабильной и эффективной деятельности учреждения, в том числе:</w:t>
      </w:r>
      <w:r>
        <w:rPr>
          <w:rFonts w:hint="default" w:ascii="Times New Roman" w:hAnsi="Times New Roman" w:eastAsia="Arial" w:cs="Times New Roman"/>
          <w:caps w:val="0"/>
          <w:spacing w:val="0"/>
          <w:sz w:val="28"/>
          <w:szCs w:val="28"/>
          <w:shd w:val="clear" w:fill="FFFFFF"/>
          <w:lang w:val="ru-RU"/>
        </w:rPr>
        <w:t xml:space="preserve"> о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>плат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у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труда сотрудников</w:t>
      </w:r>
      <w:r>
        <w:rPr>
          <w:rStyle w:val="4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, начисление страховых взносов, коммунальные и операционные расходы,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приобретение основных средств и материальных запасов, техническое обслуживание и ремонт.</w:t>
      </w:r>
      <w:r>
        <w:rPr>
          <w:rFonts w:hint="default" w:eastAsia="Arial" w:cs="Times New Roman"/>
          <w:b w:val="0"/>
          <w:bCs w:val="0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В целях рационального и экономного использования бюджетных средств</w:t>
      </w:r>
      <w:r>
        <w:rPr>
          <w:rFonts w:hint="default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,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своими силами проводились работы, без привлечения наемных работников и специальных служб, по ремонту основных средств (аттракционов и другого оборудования).</w:t>
      </w:r>
    </w:p>
    <w:p w14:paraId="62E5B8B4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60" w:lineRule="auto"/>
        <w:ind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В 202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5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г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 xml:space="preserve"> оказание платных услуг осуществлялось в период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с 01.05.2025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г. по 30.09.2025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г.</w:t>
      </w:r>
    </w:p>
    <w:p w14:paraId="16F4182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60" w:lineRule="auto"/>
        <w:ind w:right="0" w:rightChars="0" w:firstLine="708" w:firstLineChars="0"/>
        <w:jc w:val="both"/>
        <w:textAlignment w:val="auto"/>
        <w:rPr>
          <w:rFonts w:hint="default" w:ascii="Times New Roman" w:hAnsi="Times New Roman" w:eastAsia="Times New Roman" w:cs="Times New Roman"/>
          <w:b/>
          <w:bCs/>
          <w:i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Доходы от реализации билетов на аттракционы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за 2025 год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 xml:space="preserve">3 660 095,00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>рублей, в сравнении с предыдущим годом (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3 334 590,00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 xml:space="preserve"> руб.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) выполнено на </w:t>
      </w:r>
      <w:r>
        <w:rPr>
          <w:rFonts w:hint="default" w:ascii="Times New Roman" w:hAnsi="Times New Roman" w:eastAsia="Times New Roman" w:cs="Times New Roman"/>
          <w:b/>
          <w:bCs/>
          <w:i/>
          <w:sz w:val="28"/>
          <w:szCs w:val="28"/>
          <w:u w:val="single"/>
          <w:lang w:val="en-US" w:eastAsia="ru-RU"/>
        </w:rPr>
        <w:t>110  %</w:t>
      </w:r>
    </w:p>
    <w:p w14:paraId="67209B2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 w:val="0"/>
          <w:sz w:val="28"/>
          <w:szCs w:val="28"/>
          <w:lang w:val="en-US" w:eastAsia="ru-RU"/>
        </w:rPr>
        <w:t>Доход от реализации договоров пожертвования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  <w:t xml:space="preserve"> за 2025 год составил                        </w:t>
      </w:r>
      <w:r>
        <w:rPr>
          <w:rFonts w:hint="default" w:ascii="Times New Roman" w:hAnsi="Times New Roman" w:eastAsia="Times New Roman" w:cs="Times New Roman"/>
          <w:b/>
          <w:bCs w:val="0"/>
          <w:i w:val="0"/>
          <w:iCs w:val="0"/>
          <w:sz w:val="28"/>
          <w:szCs w:val="28"/>
          <w:lang w:val="en-US" w:eastAsia="ru-RU"/>
        </w:rPr>
        <w:t>120 810,00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  <w:t xml:space="preserve"> руб., все деньги направлены на приобретение комплектующих запчастей, оборудование и универсальных масел  для аттракционов.</w:t>
      </w:r>
    </w:p>
    <w:p w14:paraId="7EE814D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 w:val="0"/>
          <w:sz w:val="28"/>
          <w:szCs w:val="28"/>
          <w:lang w:val="en-US" w:eastAsia="ru-RU"/>
        </w:rPr>
        <w:t>Посещаемость аттракционов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  <w:t xml:space="preserve"> в 2025 году составила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59 297 чел.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 в сравнении с предыдущим годом (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</w:rPr>
        <w:t>3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ru-RU"/>
        </w:rPr>
        <w:t xml:space="preserve">56792 чел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) выполнено на </w:t>
      </w:r>
      <w:r>
        <w:rPr>
          <w:rFonts w:hint="default" w:ascii="Times New Roman" w:hAnsi="Times New Roman" w:eastAsia="Times New Roman" w:cs="Times New Roman"/>
          <w:b/>
          <w:bCs/>
          <w:i/>
          <w:sz w:val="28"/>
          <w:szCs w:val="28"/>
          <w:u w:val="single"/>
          <w:lang w:val="en-US" w:eastAsia="ru-RU"/>
        </w:rPr>
        <w:t>105  %</w:t>
      </w:r>
    </w:p>
    <w:p w14:paraId="3B2831E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 w:val="0"/>
          <w:sz w:val="28"/>
          <w:szCs w:val="28"/>
          <w:lang w:val="en-US" w:eastAsia="ru-RU"/>
        </w:rPr>
        <w:t>Посещение парка разными категориями граждан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  <w:t xml:space="preserve"> в 2025 году составила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68 040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чел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lang w:val="ru-RU"/>
        </w:rPr>
        <w:t xml:space="preserve"> в сравнении с предыдущим годом (62100 чел) выполнено на </w:t>
      </w:r>
      <w:r>
        <w:rPr>
          <w:rFonts w:hint="default" w:ascii="Times New Roman" w:hAnsi="Times New Roman" w:eastAsia="Times New Roman" w:cs="Times New Roman"/>
          <w:b/>
          <w:bCs/>
          <w:i/>
          <w:sz w:val="28"/>
          <w:szCs w:val="28"/>
          <w:u w:val="single"/>
          <w:lang w:val="en-US" w:eastAsia="ru-RU"/>
        </w:rPr>
        <w:t>110  %</w:t>
      </w:r>
    </w:p>
    <w:p w14:paraId="6525FCCD">
      <w:pPr>
        <w:numPr>
          <w:ilvl w:val="0"/>
          <w:numId w:val="1"/>
        </w:numPr>
        <w:spacing w:after="0" w:line="240" w:lineRule="auto"/>
        <w:ind w:left="0" w:leftChars="0" w:firstLine="708" w:firstLineChars="0"/>
        <w:jc w:val="both"/>
        <w:rPr>
          <w:rFonts w:hint="default" w:ascii="Times New Roman" w:hAnsi="Times New Roman" w:eastAsia="Times New Roman" w:cs="Times New Roman"/>
          <w:b/>
          <w:bCs w:val="0"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 w:val="0"/>
          <w:sz w:val="28"/>
          <w:szCs w:val="28"/>
          <w:lang w:val="en-US" w:eastAsia="ru-RU"/>
        </w:rPr>
        <w:t>Посещение льготных категорий детей на аттракционах :</w:t>
      </w:r>
    </w:p>
    <w:p w14:paraId="3D056E28">
      <w:pPr>
        <w:numPr>
          <w:ilvl w:val="0"/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Дети участников специальной военной операции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- 9165 бил., 611-чел</w:t>
      </w:r>
    </w:p>
    <w:p w14:paraId="1CB7FF6B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Дети из многодетных семей, детей инвалидов и оставшихся без попечения родителей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- 5054 бил., 2527 чел.</w:t>
      </w:r>
    </w:p>
    <w:p w14:paraId="31AC4DE7">
      <w:pPr>
        <w:numPr>
          <w:ilvl w:val="0"/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Дети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участники мероприятия посвящённого Дню Победы  9 мая- 935 бил., 187 чел.</w:t>
      </w:r>
    </w:p>
    <w:p w14:paraId="16A9145C">
      <w:pPr>
        <w:numPr>
          <w:ilvl w:val="0"/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  <w:t>Выдано билетов на бесплатной основе- 15154 шт., в среднем по 60 руб. На сумму 909240,00 руб.</w:t>
      </w:r>
    </w:p>
    <w:p w14:paraId="4A49DD0B">
      <w:pPr>
        <w:numPr>
          <w:ilvl w:val="0"/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</w:pPr>
    </w:p>
    <w:p w14:paraId="545B7590">
      <w:pPr>
        <w:numPr>
          <w:ilvl w:val="0"/>
          <w:numId w:val="0"/>
        </w:numPr>
        <w:spacing w:after="0" w:line="240" w:lineRule="auto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sz w:val="28"/>
          <w:szCs w:val="28"/>
          <w:lang w:val="en-US" w:eastAsia="ru-RU"/>
        </w:rPr>
      </w:pPr>
    </w:p>
    <w:tbl>
      <w:tblPr>
        <w:tblStyle w:val="6"/>
        <w:tblpPr w:leftFromText="180" w:rightFromText="180" w:vertAnchor="text" w:tblpX="10934" w:tblpY="31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</w:tblGrid>
      <w:tr w14:paraId="39F73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21" w:type="dxa"/>
          </w:tcPr>
          <w:p w14:paraId="58A7607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p w14:paraId="1C138316">
      <w:pPr>
        <w:numPr>
          <w:ilvl w:val="0"/>
          <w:numId w:val="1"/>
        </w:numPr>
        <w:spacing w:after="0" w:line="240" w:lineRule="auto"/>
        <w:ind w:left="0" w:leftChars="0" w:firstLine="708" w:firstLineChars="0"/>
        <w:jc w:val="both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none"/>
          <w:lang w:val="en-US" w:eastAsia="ru-RU"/>
        </w:rPr>
        <w:t>Н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 ремонт в 2025 г. было потрачено 4 645 474.18 руб., из них:</w:t>
      </w:r>
    </w:p>
    <w:tbl>
      <w:tblPr>
        <w:tblStyle w:val="6"/>
        <w:tblpPr w:leftFromText="180" w:rightFromText="180" w:vertAnchor="text" w:tblpX="10934" w:tblpY="6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</w:tblGrid>
      <w:tr w14:paraId="407F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11" w:type="dxa"/>
          </w:tcPr>
          <w:p w14:paraId="5F8EB23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p w14:paraId="4401A7CA">
      <w:pPr>
        <w:numPr>
          <w:ilvl w:val="0"/>
          <w:numId w:val="0"/>
        </w:numPr>
        <w:spacing w:after="0" w:line="240" w:lineRule="auto"/>
        <w:ind w:leftChars="0"/>
        <w:jc w:val="both"/>
        <w:rPr>
          <w:rFonts w:hint="default" w:ascii="Times New Roman" w:hAnsi="Times New Roman" w:eastAsia="Times New Roman" w:cs="Times New Roman"/>
          <w:b/>
          <w:bCs w:val="0"/>
          <w:i w:val="0"/>
          <w:iCs/>
          <w:sz w:val="28"/>
          <w:szCs w:val="28"/>
          <w:u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ремонт скейтплощадки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-1095007,24 руб.; р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емонт входной группы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- 3418595,14руб.; п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ерекрытие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трибун на летней эстраде - 131871,80 руб.</w:t>
      </w:r>
    </w:p>
    <w:tbl>
      <w:tblPr>
        <w:tblStyle w:val="6"/>
        <w:tblpPr w:leftFromText="180" w:rightFromText="180" w:vertAnchor="text" w:tblpX="10934" w:tblpY="-1344"/>
        <w:tblOverlap w:val="never"/>
        <w:tblW w:w="6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</w:tblGrid>
      <w:tr w14:paraId="3733C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41" w:type="dxa"/>
          </w:tcPr>
          <w:p w14:paraId="4B17471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tbl>
      <w:tblPr>
        <w:tblStyle w:val="6"/>
        <w:tblpPr w:leftFromText="180" w:rightFromText="180" w:vertAnchor="text" w:tblpX="10934" w:tblpY="-8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"/>
      </w:tblGrid>
      <w:tr w14:paraId="572B2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86" w:type="dxa"/>
          </w:tcPr>
          <w:p w14:paraId="1BCD2FB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tbl>
      <w:tblPr>
        <w:tblStyle w:val="6"/>
        <w:tblpPr w:leftFromText="180" w:rightFromText="180" w:vertAnchor="text" w:tblpX="10934" w:tblpY="-9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"/>
      </w:tblGrid>
      <w:tr w14:paraId="3452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86" w:type="dxa"/>
          </w:tcPr>
          <w:p w14:paraId="468C7BF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vertAlign w:val="baseline"/>
                <w:lang w:eastAsia="ru-RU"/>
              </w:rPr>
            </w:pPr>
          </w:p>
        </w:tc>
      </w:tr>
    </w:tbl>
    <w:p w14:paraId="0EBDBE8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highlight w:val="none"/>
          <w:lang w:val="ru-RU"/>
        </w:rPr>
        <w:t>Капитальные вложения - 1 025 089,00 руб.</w:t>
      </w:r>
    </w:p>
    <w:p w14:paraId="2C72DB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Проведена ежегодная противоклещевая обработка; заземление и техническое освидетельствование аттракционов - получено разрешение на эксплуатацию в 2026 году; содержание и ремонт аттракционов, оборудования, освещения, системы видеонаблюдения; приобретение цветников, урн, двух санитарных помещений, деревянной горки, бензооборудование; проводится регулярная чистка снега.</w:t>
      </w:r>
    </w:p>
    <w:p w14:paraId="41D5A2C3">
      <w:pPr>
        <w:numPr>
          <w:ilvl w:val="0"/>
          <w:numId w:val="1"/>
        </w:numPr>
        <w:spacing w:after="0" w:line="240" w:lineRule="auto"/>
        <w:ind w:left="0" w:leftChars="0" w:firstLine="708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Материально-техническая база на конец июня 2025 года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составляет:</w:t>
      </w:r>
    </w:p>
    <w:p w14:paraId="57F4A4F4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23 досуговых объекта: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15 – аттракционов, 1 – детская игровая площадка, 1 – «Поляна сказок»,  1 – спортивная площадка с уличными тренажерами, 1 – скейт-парк, 1 – веревочный парк, 1 – Уличная библиотека, 1- лыжероллерная трасса, 1 – летняя эстрада.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</w:p>
    <w:p w14:paraId="3EE4EDDD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Постановление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м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Администрации Пластовского муниципального округа 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были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утвержден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ы новые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тариф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ы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на платные услуги МКУ «Парк культуры и отдыха»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.</w:t>
      </w:r>
    </w:p>
    <w:p w14:paraId="5C9A886C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 В рамках безопасности  посещения аттракционов батут «Змей Горыныч» актом  технического состояния признан негодным.</w:t>
      </w:r>
    </w:p>
    <w:p w14:paraId="1EDD8F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С мая по сентябрь 202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г. был обеспечен доступ к бесплатной сети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en-US"/>
        </w:rPr>
        <w:t>Wi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-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en-US"/>
        </w:rPr>
        <w:t>Fi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на Главной Пешеходной аллее парка.</w:t>
      </w:r>
    </w:p>
    <w:p w14:paraId="49AD6F28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highlight w:val="yellow"/>
          <w:lang w:eastAsia="ru-RU"/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>В августе месяце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ru-RU"/>
        </w:rPr>
        <w:t xml:space="preserve">было проведено учение по антитеррористической безопасности и по технике безопасности на объекте. </w:t>
      </w:r>
    </w:p>
    <w:p w14:paraId="71836F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В летний период  проводили обслуживание территории парка: устройство новых клумб, посадк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цветов, деревьев, полив. Проведена санитарная очистка л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еса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, скос сорной травы. В течение зимнего времени проводилась очистка территории от снега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и падающих веток от деревьев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.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 К  85 летнему Юбилею города было высажено 85 берёзок, выделенные Пластовском лесхозом. При  сотрудничестве с ПМОКХ были заасфальтированы  разрушавшиеся  участки  лыжероллерной трассы в парке и завезена  плодородная земля.</w:t>
      </w:r>
    </w:p>
    <w:p w14:paraId="41E50E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 w:firstLineChars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Ежегодно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сотрудника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принима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ют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участие в городских конкурсах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с проектами «Цветущий край», на лучшую зимнюю иллюминацию и другие. </w:t>
      </w:r>
    </w:p>
    <w:p w14:paraId="133C9E0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708" w:firstLineChars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 течение отчётного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периода были организованы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коллективные посещения аттракционов детскими садами, школьными площадками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Пластовского округа а также  для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туристов из соседних городов Челябинской области: г. Челябинск, Южноуральск, Магнитогорск, Красногорск и других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территорией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157DAF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 w:firstLine="708" w:firstLineChars="0"/>
        <w:jc w:val="both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  летний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период по линии Центра занятости населения в парке работали взрослые и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школьники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от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14 до 17 лет, которые помогали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в благоустройстве парка: занимались прополкой и посадкой цветов, обрезкой кустарников.</w:t>
      </w:r>
    </w:p>
    <w:p w14:paraId="3C8D5203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Совместно с Управлением культуры, спорта и молодёжной политики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и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Управлением образования Пластовского округа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на территории парка проводились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общегородские культурно-массовые и спортивные мероприятия:</w:t>
      </w:r>
    </w:p>
    <w:p w14:paraId="39FF0A82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 марте на территории парка прошл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и мероприятия: Лыжня России и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два этапа Всероссийской военно-патриотической игры «Зарница 2.0»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 w14:paraId="56A4783F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Силами коллектива Управления культуры на территории парка был проведён масштабный субботник.</w:t>
      </w:r>
    </w:p>
    <w:p w14:paraId="658424EB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В мае месяце было проведено несколько значимых мероприятий: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открытие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летнего сезона парка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, праздничное мероприятие посвящённое  80-летию Юбилею Победы в ВОв (1941-1945 гг), День Пограничника.    </w:t>
      </w:r>
    </w:p>
    <w:p w14:paraId="17382CEC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июне месяце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в  Международный День защиты детей было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организовано бесплатное катание детей на аттракционах.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 w14:paraId="60679CE3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 рамках 49-го Ильменского фестиваля на летней эстраде выступил Дмитрий Хмелев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. 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Были организованы праздничные программы посвященные Дню России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,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Дню молодёжи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и ко Дню семьи любви и верности.</w:t>
      </w:r>
    </w:p>
    <w:p w14:paraId="4386825A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Парк посетили московские студенты с исследовательской экспедицией «Общественная самоорганизация и система муниципального управления».</w:t>
      </w:r>
    </w:p>
    <w:p w14:paraId="1D259665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Впервые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в  парка прошло два  мероприятия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День округа и «Яблочный спас по пластовски»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на которых были развёрнуты торговые ряды и  различные   подворья, На интерактивных площадках, можно было поучаствовать в   мастер-классах в разных направлениях.</w:t>
      </w:r>
    </w:p>
    <w:p w14:paraId="78F88A6F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На культурно-массовые мероприятиях в парк привлекаются мастера ДПИ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,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художники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 Гильдии художников Южного Урала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 Так, на территории парка было проведено 4 пленэра для детей.</w:t>
      </w:r>
    </w:p>
    <w:p w14:paraId="23AC172D">
      <w:pPr>
        <w:spacing w:after="0" w:line="24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В парке проходят торжественные мероприятия посвящённые различным родам войск, на которые собираются бывшие  и действующие военнослужащие: пограничники, десантники, военнослужащие военно-морского флота, участники специальной военной операции.   </w:t>
      </w:r>
    </w:p>
    <w:p w14:paraId="76FE676D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Продолжена традиция на аллее Академиков бокса – сво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именн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ые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кедр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высадил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чемпион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мира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Григорий Дрозд и Роман Кармазин. В настоящее  время высажено 17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именных кедров.</w:t>
      </w:r>
    </w:p>
    <w:p w14:paraId="2A50CFEA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октябре  парком был объявлен творческий конкурс «Птичий городок» на создание кормушек и домиков для птиц. В конкурсе приняло участие 65 детей разного возраста. Все конкурсные работы были развешаны в парке.</w:t>
      </w:r>
    </w:p>
    <w:p w14:paraId="36E02103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Кроме этого учащиеся школ, дети из детских садов и спортивных секций активно принимают участие в различных акциях проводимых на территории парка.</w:t>
      </w:r>
    </w:p>
    <w:p w14:paraId="17DCF47A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конце года сотрудники парка совместно с библиотекой разработали и провели  вечернюю экскурсию «История парка в шёпоте берёз», для пластовчан. Поддерживается тесная связь с членами творческого объединения «Россыпи».</w:t>
      </w:r>
    </w:p>
    <w:p w14:paraId="283A24DD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Сотрудники активно принимают участие в различных мероприятиях проводимых в районе, силами сотрудников было отреставрировано три памятника в городе. Принимали участие в областном конкурсе «Марафон талантов», участвовали в юбилейных выставках Гильдии художников Южного Урала, «Золотые россыпи Урала», «Стальное кружево Урала», молодые сотрудники 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принимали участие в молодёжной волне. Участвуют в благотворительных акциях в поддержку  бойцам  специальной военной операции.</w:t>
      </w:r>
    </w:p>
    <w:p w14:paraId="536E07CA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Все мероприятия публикуются на официальных страничках и сайтах учреждения.</w:t>
      </w:r>
    </w:p>
    <w:p w14:paraId="7FEF354D"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планах: продолжение работы по ключевым вопросам; развитие материально-технической базы; благоустройство территории; обеспечение безопасности аттракционов и посетителей; расширение культурно-досуговой программы; повышение экологической культуры; обучение и повышение квалификации персонала.</w:t>
      </w:r>
    </w:p>
    <w:p w14:paraId="670457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97EE7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Директор МКУ «Парк культуры и отдыха»                                  Суздальцева И.Г.</w:t>
      </w:r>
    </w:p>
    <w:sectPr>
      <w:pgSz w:w="11906" w:h="16838"/>
      <w:pgMar w:top="709" w:right="707" w:bottom="567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B248CC"/>
    <w:multiLevelType w:val="singleLevel"/>
    <w:tmpl w:val="2DB248CC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8BC"/>
    <w:rsid w:val="00017EBB"/>
    <w:rsid w:val="00022171"/>
    <w:rsid w:val="000354CF"/>
    <w:rsid w:val="00174B70"/>
    <w:rsid w:val="00177642"/>
    <w:rsid w:val="00186C47"/>
    <w:rsid w:val="001B2BFB"/>
    <w:rsid w:val="00226C0A"/>
    <w:rsid w:val="002D1E84"/>
    <w:rsid w:val="003163E4"/>
    <w:rsid w:val="00327A78"/>
    <w:rsid w:val="00345956"/>
    <w:rsid w:val="00352E2B"/>
    <w:rsid w:val="0036313C"/>
    <w:rsid w:val="003C59BF"/>
    <w:rsid w:val="003F0233"/>
    <w:rsid w:val="00463768"/>
    <w:rsid w:val="004B44FC"/>
    <w:rsid w:val="00503859"/>
    <w:rsid w:val="00583ED3"/>
    <w:rsid w:val="005A18F9"/>
    <w:rsid w:val="005A78BC"/>
    <w:rsid w:val="00605EA4"/>
    <w:rsid w:val="0065793E"/>
    <w:rsid w:val="006A08BC"/>
    <w:rsid w:val="00706E29"/>
    <w:rsid w:val="00733ECB"/>
    <w:rsid w:val="007B0995"/>
    <w:rsid w:val="007B2AD9"/>
    <w:rsid w:val="007D7CA3"/>
    <w:rsid w:val="007E61B7"/>
    <w:rsid w:val="00814471"/>
    <w:rsid w:val="008D321E"/>
    <w:rsid w:val="00933D40"/>
    <w:rsid w:val="00966833"/>
    <w:rsid w:val="009854C4"/>
    <w:rsid w:val="009A3326"/>
    <w:rsid w:val="009E4079"/>
    <w:rsid w:val="00AD0CA7"/>
    <w:rsid w:val="00AF7979"/>
    <w:rsid w:val="00B566DC"/>
    <w:rsid w:val="00B633B9"/>
    <w:rsid w:val="00BB497C"/>
    <w:rsid w:val="00BC69D2"/>
    <w:rsid w:val="00C9238A"/>
    <w:rsid w:val="00CF5BB2"/>
    <w:rsid w:val="00D44A5E"/>
    <w:rsid w:val="00D57CDE"/>
    <w:rsid w:val="00D72702"/>
    <w:rsid w:val="00D85AB6"/>
    <w:rsid w:val="00E14BAE"/>
    <w:rsid w:val="00E268F1"/>
    <w:rsid w:val="00F50D5E"/>
    <w:rsid w:val="00F91CD0"/>
    <w:rsid w:val="00FC22C4"/>
    <w:rsid w:val="00FE64ED"/>
    <w:rsid w:val="03312448"/>
    <w:rsid w:val="04935898"/>
    <w:rsid w:val="0649257E"/>
    <w:rsid w:val="07747587"/>
    <w:rsid w:val="09E87AA7"/>
    <w:rsid w:val="0C4944D2"/>
    <w:rsid w:val="0D7042CE"/>
    <w:rsid w:val="0D855CBD"/>
    <w:rsid w:val="0FC264EA"/>
    <w:rsid w:val="10E84100"/>
    <w:rsid w:val="12374709"/>
    <w:rsid w:val="13F25DFF"/>
    <w:rsid w:val="17BC1AA1"/>
    <w:rsid w:val="19CD16EE"/>
    <w:rsid w:val="1BA55A43"/>
    <w:rsid w:val="1E0B6812"/>
    <w:rsid w:val="1F59377E"/>
    <w:rsid w:val="222B1D8D"/>
    <w:rsid w:val="241474F8"/>
    <w:rsid w:val="25047A1F"/>
    <w:rsid w:val="288A3E70"/>
    <w:rsid w:val="2A105610"/>
    <w:rsid w:val="2AC670AF"/>
    <w:rsid w:val="2BF5564B"/>
    <w:rsid w:val="2C895BA1"/>
    <w:rsid w:val="2C8E761A"/>
    <w:rsid w:val="2D1B19D6"/>
    <w:rsid w:val="2E235C51"/>
    <w:rsid w:val="2F915C57"/>
    <w:rsid w:val="30132F80"/>
    <w:rsid w:val="33552E44"/>
    <w:rsid w:val="365503E4"/>
    <w:rsid w:val="3851739A"/>
    <w:rsid w:val="399A0292"/>
    <w:rsid w:val="3A0E6A07"/>
    <w:rsid w:val="3B1D34F7"/>
    <w:rsid w:val="3B2C045B"/>
    <w:rsid w:val="3CC57253"/>
    <w:rsid w:val="3D12123A"/>
    <w:rsid w:val="3DCF679E"/>
    <w:rsid w:val="3F3D4BED"/>
    <w:rsid w:val="413B42DB"/>
    <w:rsid w:val="42D53FC6"/>
    <w:rsid w:val="48FC164D"/>
    <w:rsid w:val="4A4869F1"/>
    <w:rsid w:val="4BBD5BD8"/>
    <w:rsid w:val="4C3E4702"/>
    <w:rsid w:val="4C655DDB"/>
    <w:rsid w:val="4CBD635B"/>
    <w:rsid w:val="4D802136"/>
    <w:rsid w:val="50DC350C"/>
    <w:rsid w:val="52234E7A"/>
    <w:rsid w:val="526C5809"/>
    <w:rsid w:val="533A7098"/>
    <w:rsid w:val="55CC5A72"/>
    <w:rsid w:val="56E27139"/>
    <w:rsid w:val="570201C2"/>
    <w:rsid w:val="58BF2E68"/>
    <w:rsid w:val="5AFE7C90"/>
    <w:rsid w:val="5B5D122B"/>
    <w:rsid w:val="5D360460"/>
    <w:rsid w:val="5EF0450F"/>
    <w:rsid w:val="5F13398C"/>
    <w:rsid w:val="60BA0233"/>
    <w:rsid w:val="62A82033"/>
    <w:rsid w:val="684F0B0E"/>
    <w:rsid w:val="68D55E10"/>
    <w:rsid w:val="69641204"/>
    <w:rsid w:val="6A017CFB"/>
    <w:rsid w:val="6C9D49D1"/>
    <w:rsid w:val="6CC824C6"/>
    <w:rsid w:val="6CE547B7"/>
    <w:rsid w:val="6DCC1DB7"/>
    <w:rsid w:val="6EF82798"/>
    <w:rsid w:val="707E0B5A"/>
    <w:rsid w:val="70BD4FB2"/>
    <w:rsid w:val="711C6CA4"/>
    <w:rsid w:val="718F2A96"/>
    <w:rsid w:val="72D43FE5"/>
    <w:rsid w:val="74103315"/>
    <w:rsid w:val="75FE46BB"/>
    <w:rsid w:val="775E46C9"/>
    <w:rsid w:val="78E95998"/>
    <w:rsid w:val="7B6342CD"/>
    <w:rsid w:val="7CFC5143"/>
    <w:rsid w:val="7D271BC3"/>
    <w:rsid w:val="7D866382"/>
    <w:rsid w:val="7EF7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572</Words>
  <Characters>3265</Characters>
  <Lines>27</Lines>
  <Paragraphs>7</Paragraphs>
  <TotalTime>7</TotalTime>
  <ScaleCrop>false</ScaleCrop>
  <LinksUpToDate>false</LinksUpToDate>
  <CharactersWithSpaces>3830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2025-06-24T05:12:00Z</dcterms:created>
  <dc:creator>1</dc:creator>
  <cp:lastModifiedBy>1</cp:lastModifiedBy>
  <cp:lastPrinted>2026-01-19T04:37:00Z</cp:lastPrinted>
  <dcterms:modified xsi:type="dcterms:W3CDTF">2026-01-26T10:40:13Z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D24EDE1C6D754377ACE1DDF35A335D8F_12</vt:lpwstr>
  </property>
</Properties>
</file>